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7E6957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GENIUS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7E6957">
        <w:rPr>
          <w:rFonts w:ascii="Arial" w:hAnsi="Arial" w:cs="Arial"/>
        </w:rPr>
        <w:t xml:space="preserve"> PREPOLIMERO SILICONICO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FF0430" w:rsidRPr="00FF0430" w:rsidRDefault="00FF0430" w:rsidP="00FF0430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</w:p>
    <w:p w:rsidR="007E6957" w:rsidRPr="007E6957" w:rsidRDefault="007E6957" w:rsidP="007E6957">
      <w:pPr>
        <w:spacing w:line="240" w:lineRule="auto"/>
        <w:rPr>
          <w:rFonts w:ascii="Arial" w:eastAsia="Calibri" w:hAnsi="Arial" w:cs="Arial"/>
        </w:rPr>
      </w:pPr>
      <w:r w:rsidRPr="007E6957">
        <w:rPr>
          <w:rFonts w:ascii="Arial" w:eastAsia="Calibri" w:hAnsi="Arial" w:cs="Arial"/>
        </w:rPr>
        <w:t>Ravvivante per agglomerati formulato espressamente per conferire colore alle superfici trattate, per alcune tipologie di materiali è in grado di proteggere efficacemente la superficie stessa.</w:t>
      </w:r>
    </w:p>
    <w:p w:rsidR="007E6957" w:rsidRPr="007E6957" w:rsidRDefault="007E6957" w:rsidP="007E6957">
      <w:pPr>
        <w:spacing w:line="240" w:lineRule="auto"/>
        <w:rPr>
          <w:rFonts w:ascii="Arial" w:eastAsia="Calibri" w:hAnsi="Arial" w:cs="Arial"/>
        </w:rPr>
      </w:pPr>
      <w:proofErr w:type="spellStart"/>
      <w:r w:rsidRPr="007E6957">
        <w:rPr>
          <w:rFonts w:ascii="Arial" w:eastAsia="Calibri" w:hAnsi="Arial" w:cs="Arial"/>
        </w:rPr>
        <w:t>Genius</w:t>
      </w:r>
      <w:proofErr w:type="spellEnd"/>
      <w:r w:rsidRPr="007E6957">
        <w:rPr>
          <w:rFonts w:ascii="Arial" w:eastAsia="Calibri" w:hAnsi="Arial" w:cs="Arial"/>
        </w:rPr>
        <w:t xml:space="preserve"> è formulato con polimeri </w:t>
      </w:r>
      <w:proofErr w:type="spellStart"/>
      <w:r w:rsidRPr="007E6957">
        <w:rPr>
          <w:rFonts w:ascii="Arial" w:eastAsia="Calibri" w:hAnsi="Arial" w:cs="Arial"/>
        </w:rPr>
        <w:t>siliconici</w:t>
      </w:r>
      <w:proofErr w:type="spellEnd"/>
      <w:r w:rsidRPr="007E6957">
        <w:rPr>
          <w:rFonts w:ascii="Arial" w:eastAsia="Calibri" w:hAnsi="Arial" w:cs="Arial"/>
        </w:rPr>
        <w:t xml:space="preserve"> che polimerizzando modificano l’idrofilia dei supporti tra</w:t>
      </w:r>
      <w:r w:rsidRPr="007E6957">
        <w:rPr>
          <w:rFonts w:ascii="Arial" w:eastAsia="Calibri" w:hAnsi="Arial" w:cs="Arial"/>
        </w:rPr>
        <w:t>t</w:t>
      </w:r>
      <w:r w:rsidRPr="007E6957">
        <w:rPr>
          <w:rFonts w:ascii="Arial" w:eastAsia="Calibri" w:hAnsi="Arial" w:cs="Arial"/>
        </w:rPr>
        <w:t>tati, senza formare nel contempo pellicole superficiali o modifiche sostanziali della porosità dei supporti lasciando così invariata la traspirabilità al vapore acqueo.</w:t>
      </w:r>
    </w:p>
    <w:p w:rsidR="007E6957" w:rsidRPr="007E6957" w:rsidRDefault="007E6957" w:rsidP="007E6957">
      <w:pPr>
        <w:spacing w:line="240" w:lineRule="auto"/>
        <w:rPr>
          <w:rFonts w:ascii="Arial" w:eastAsia="Calibri" w:hAnsi="Arial" w:cs="Arial"/>
          <w:i/>
        </w:rPr>
      </w:pPr>
      <w:r w:rsidRPr="007E6957">
        <w:rPr>
          <w:rFonts w:ascii="Arial" w:eastAsia="Calibri" w:hAnsi="Arial" w:cs="Arial"/>
          <w:i/>
          <w:u w:val="single"/>
        </w:rPr>
        <w:t>Approvato per il contatto con gli alimenti da un laboratorio certificato</w:t>
      </w:r>
      <w:r w:rsidRPr="007E6957">
        <w:rPr>
          <w:rFonts w:ascii="Arial" w:eastAsia="Calibri" w:hAnsi="Arial" w:cs="Arial"/>
          <w:i/>
        </w:rPr>
        <w:t>.</w:t>
      </w:r>
    </w:p>
    <w:p w:rsidR="007C045B" w:rsidRPr="00EB7CC0" w:rsidRDefault="00E8415E" w:rsidP="004C1569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FUNZIONE</w:t>
      </w:r>
    </w:p>
    <w:p w:rsidR="004C1569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Impregnante </w:t>
      </w:r>
      <w:r w:rsidR="004C1569">
        <w:rPr>
          <w:rFonts w:ascii="Arial" w:hAnsi="Arial" w:cs="Arial"/>
        </w:rPr>
        <w:t xml:space="preserve">ravvivante </w:t>
      </w:r>
      <w:r w:rsidR="007E6957">
        <w:rPr>
          <w:rFonts w:ascii="Arial" w:hAnsi="Arial" w:cs="Arial"/>
        </w:rPr>
        <w:t>protettivo</w:t>
      </w:r>
      <w:r w:rsidR="00881D8F">
        <w:rPr>
          <w:rFonts w:ascii="Arial" w:hAnsi="Arial" w:cs="Arial"/>
        </w:rPr>
        <w:t xml:space="preserve"> .</w:t>
      </w:r>
    </w:p>
    <w:p w:rsidR="007C045B" w:rsidRPr="00C877B5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FF0430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Protettivo Ravvivante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 xml:space="preserve">per </w:t>
      </w:r>
      <w:r w:rsidR="007E6957">
        <w:rPr>
          <w:rFonts w:ascii="Arial" w:hAnsi="Arial" w:cs="Arial"/>
        </w:rPr>
        <w:t>agglomerati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7E6957" w:rsidRPr="007E6957" w:rsidRDefault="007E6957" w:rsidP="007E6957">
      <w:pPr>
        <w:spacing w:line="240" w:lineRule="auto"/>
        <w:rPr>
          <w:rFonts w:ascii="Arial" w:eastAsia="Calibri" w:hAnsi="Arial" w:cs="Arial"/>
        </w:rPr>
      </w:pPr>
      <w:r w:rsidRPr="007E6957">
        <w:rPr>
          <w:rFonts w:ascii="Arial" w:eastAsia="Calibri" w:hAnsi="Arial" w:cs="Arial"/>
        </w:rPr>
        <w:t>Su superfici pulite ed asciutte applicare il prodotto tal quale e lasciare impregnare. Per materiali molto porosi può essere necessario ripetere l’operazione. Su materiali sconnessi e disomogenei procedere all’applicazione in modo graduale con panno inumidito di prodotto per evitare un asso</w:t>
      </w:r>
      <w:r w:rsidRPr="007E6957">
        <w:rPr>
          <w:rFonts w:ascii="Arial" w:eastAsia="Calibri" w:hAnsi="Arial" w:cs="Arial"/>
        </w:rPr>
        <w:t>r</w:t>
      </w:r>
      <w:r w:rsidRPr="007E6957">
        <w:rPr>
          <w:rFonts w:ascii="Arial" w:eastAsia="Calibri" w:hAnsi="Arial" w:cs="Arial"/>
        </w:rPr>
        <w:t>bimento disomogeneo e la comparsa, dopo asciugatura, di chiazze scure. Evitare inoltre che e</w:t>
      </w:r>
      <w:r w:rsidRPr="007E6957">
        <w:rPr>
          <w:rFonts w:ascii="Arial" w:eastAsia="Calibri" w:hAnsi="Arial" w:cs="Arial"/>
        </w:rPr>
        <w:t>c</w:t>
      </w:r>
      <w:r w:rsidRPr="007E6957">
        <w:rPr>
          <w:rFonts w:ascii="Arial" w:eastAsia="Calibri" w:hAnsi="Arial" w:cs="Arial"/>
        </w:rPr>
        <w:t xml:space="preserve">cessi di prodotto asciughino in superficie, poiché si possono sviluppare </w:t>
      </w:r>
      <w:proofErr w:type="spellStart"/>
      <w:r w:rsidRPr="007E6957">
        <w:rPr>
          <w:rFonts w:ascii="Arial" w:eastAsia="Calibri" w:hAnsi="Arial" w:cs="Arial"/>
        </w:rPr>
        <w:t>alonature</w:t>
      </w:r>
      <w:proofErr w:type="spellEnd"/>
      <w:r w:rsidRPr="007E6957">
        <w:rPr>
          <w:rFonts w:ascii="Arial" w:eastAsia="Calibri" w:hAnsi="Arial" w:cs="Arial"/>
        </w:rPr>
        <w:t>. Eventuali e</w:t>
      </w:r>
      <w:r w:rsidRPr="007E6957">
        <w:rPr>
          <w:rFonts w:ascii="Arial" w:eastAsia="Calibri" w:hAnsi="Arial" w:cs="Arial"/>
        </w:rPr>
        <w:t>c</w:t>
      </w:r>
      <w:r w:rsidRPr="007E6957">
        <w:rPr>
          <w:rFonts w:ascii="Arial" w:eastAsia="Calibri" w:hAnsi="Arial" w:cs="Arial"/>
        </w:rPr>
        <w:t xml:space="preserve">cessi di prodotto possono comunque essere rimossi con </w:t>
      </w:r>
      <w:proofErr w:type="spellStart"/>
      <w:r w:rsidRPr="007E6957">
        <w:rPr>
          <w:rFonts w:ascii="Arial" w:eastAsia="Calibri" w:hAnsi="Arial" w:cs="Arial"/>
        </w:rPr>
        <w:t>monospazzola</w:t>
      </w:r>
      <w:proofErr w:type="spellEnd"/>
      <w:r w:rsidRPr="007E6957">
        <w:rPr>
          <w:rFonts w:ascii="Arial" w:eastAsia="Calibri" w:hAnsi="Arial" w:cs="Arial"/>
        </w:rPr>
        <w:t xml:space="preserve"> dotata di disco morbido. Su superfici porose può essere invece necessaria, dopo asciugatura, l’applicazione di una seco</w:t>
      </w:r>
      <w:r w:rsidRPr="007E6957">
        <w:rPr>
          <w:rFonts w:ascii="Arial" w:eastAsia="Calibri" w:hAnsi="Arial" w:cs="Arial"/>
        </w:rPr>
        <w:t>n</w:t>
      </w:r>
      <w:r w:rsidRPr="007E6957">
        <w:rPr>
          <w:rFonts w:ascii="Arial" w:eastAsia="Calibri" w:hAnsi="Arial" w:cs="Arial"/>
        </w:rPr>
        <w:t>da “mano”.</w:t>
      </w:r>
    </w:p>
    <w:p w:rsidR="00881D8F" w:rsidRPr="00881D8F" w:rsidRDefault="00881D8F" w:rsidP="00881D8F">
      <w:pPr>
        <w:spacing w:line="240" w:lineRule="auto"/>
        <w:rPr>
          <w:rFonts w:ascii="Arial" w:eastAsia="Calibri" w:hAnsi="Arial" w:cs="Arial"/>
        </w:rPr>
      </w:pPr>
    </w:p>
    <w:p w:rsidR="003E3864" w:rsidRPr="00EB7CC0" w:rsidRDefault="00E8415E" w:rsidP="007E6957">
      <w:pPr>
        <w:tabs>
          <w:tab w:val="left" w:pos="6279"/>
        </w:tabs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COMPOSIZIONE</w:t>
      </w:r>
      <w:r w:rsidR="007E6957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</w:t>
      </w:r>
      <w:r w:rsidR="007E6957">
        <w:rPr>
          <w:rFonts w:ascii="Arial" w:hAnsi="Arial" w:cs="Arial"/>
        </w:rPr>
        <w:t xml:space="preserve">polimeri </w:t>
      </w:r>
      <w:proofErr w:type="spellStart"/>
      <w:r w:rsidR="007E6957">
        <w:rPr>
          <w:rFonts w:ascii="Arial" w:hAnsi="Arial" w:cs="Arial"/>
        </w:rPr>
        <w:t>siliconici</w:t>
      </w:r>
      <w:proofErr w:type="spellEnd"/>
      <w:r w:rsidR="007E6957">
        <w:rPr>
          <w:rFonts w:ascii="Arial" w:hAnsi="Arial" w:cs="Arial"/>
        </w:rPr>
        <w:t xml:space="preserve"> e solventi</w:t>
      </w:r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effettivamente.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r w:rsidR="004C1569">
        <w:rPr>
          <w:rFonts w:ascii="Arial" w:hAnsi="Arial" w:cs="Arial"/>
        </w:rPr>
        <w:t>1</w:t>
      </w:r>
      <w:r w:rsidR="00E96DC2">
        <w:rPr>
          <w:rFonts w:ascii="Arial" w:hAnsi="Arial" w:cs="Arial"/>
        </w:rPr>
        <w:t>5</w:t>
      </w:r>
      <w:r w:rsidR="004C1569">
        <w:rPr>
          <w:rFonts w:ascii="Arial" w:hAnsi="Arial" w:cs="Arial"/>
        </w:rPr>
        <w:t>-</w:t>
      </w:r>
      <w:r w:rsidR="00E96DC2">
        <w:rPr>
          <w:rFonts w:ascii="Arial" w:hAnsi="Arial" w:cs="Arial"/>
        </w:rPr>
        <w:t>6</w:t>
      </w:r>
      <w:r w:rsidR="004C1569">
        <w:rPr>
          <w:rFonts w:ascii="Arial" w:hAnsi="Arial" w:cs="Arial"/>
        </w:rPr>
        <w:t>0</w:t>
      </w:r>
      <w:r w:rsidRPr="00C877B5">
        <w:rPr>
          <w:rFonts w:ascii="Arial" w:hAnsi="Arial" w:cs="Arial"/>
        </w:rPr>
        <w:t>’</w:t>
      </w:r>
      <w:r w:rsidR="004C1569">
        <w:rPr>
          <w:rFonts w:ascii="Arial" w:hAnsi="Arial" w:cs="Arial"/>
        </w:rPr>
        <w:t xml:space="preserve"> min.</w:t>
      </w:r>
      <w:r w:rsidRPr="00C877B5">
        <w:rPr>
          <w:rFonts w:ascii="Arial" w:hAnsi="Arial" w:cs="Arial"/>
        </w:rPr>
        <w:t xml:space="preserve">(secondo le condizioni ambientali ed il tipo di materiale). 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 xml:space="preserve">zione protettiva totalmente sviluppata dopo le prime 24 ore dall’applicazione. I consumi sono molto influenzati dalla porosità del materiale e variano tra </w:t>
      </w:r>
      <w:r w:rsidR="00E96DC2">
        <w:rPr>
          <w:rFonts w:ascii="Arial" w:hAnsi="Arial" w:cs="Arial"/>
        </w:rPr>
        <w:t>5</w:t>
      </w:r>
      <w:r w:rsidRPr="00C877B5">
        <w:rPr>
          <w:rFonts w:ascii="Arial" w:hAnsi="Arial" w:cs="Arial"/>
        </w:rPr>
        <w:t xml:space="preserve">0 e </w:t>
      </w:r>
      <w:r w:rsidR="00E96DC2">
        <w:rPr>
          <w:rFonts w:ascii="Arial" w:hAnsi="Arial" w:cs="Arial"/>
        </w:rPr>
        <w:t>25</w:t>
      </w:r>
      <w:r w:rsidRPr="00C877B5">
        <w:rPr>
          <w:rFonts w:ascii="Arial" w:hAnsi="Arial" w:cs="Arial"/>
        </w:rPr>
        <w:t>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</w:t>
      </w:r>
      <w:r w:rsidR="00E96DC2">
        <w:rPr>
          <w:rFonts w:ascii="Arial" w:hAnsi="Arial" w:cs="Arial"/>
        </w:rPr>
        <w:t>incolore</w:t>
      </w:r>
      <w:r w:rsidR="004C1569">
        <w:rPr>
          <w:rFonts w:ascii="Arial" w:hAnsi="Arial" w:cs="Arial"/>
        </w:rPr>
        <w:t xml:space="preserve"> opalescente</w:t>
      </w:r>
      <w:r w:rsidRPr="00C877B5">
        <w:rPr>
          <w:rFonts w:ascii="Arial" w:hAnsi="Arial" w:cs="Arial"/>
        </w:rPr>
        <w:t>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="00E96DC2">
        <w:rPr>
          <w:rFonts w:ascii="Arial" w:hAnsi="Arial" w:cs="Arial"/>
        </w:rPr>
        <w:t xml:space="preserve"> 0,88</w:t>
      </w:r>
      <w:r w:rsidRPr="00C877B5">
        <w:rPr>
          <w:rFonts w:ascii="Arial" w:hAnsi="Arial" w:cs="Arial"/>
        </w:rPr>
        <w:t xml:space="preserve">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alcuna garanzia delle caratteristiche del prodotto e non motivano alcun rapporto giuridico contrattuale.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relazione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impermeabili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FF0430">
      <w:type w:val="continuous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C1569"/>
    <w:rsid w:val="004E3167"/>
    <w:rsid w:val="004F53FD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3194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7E6957"/>
    <w:rsid w:val="00812DA7"/>
    <w:rsid w:val="008152BC"/>
    <w:rsid w:val="00854C93"/>
    <w:rsid w:val="00860538"/>
    <w:rsid w:val="008808F2"/>
    <w:rsid w:val="00881D8F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96DC2"/>
    <w:rsid w:val="00EA0E79"/>
    <w:rsid w:val="00EB7CC0"/>
    <w:rsid w:val="00EE66C1"/>
    <w:rsid w:val="00F34FB0"/>
    <w:rsid w:val="00F56D87"/>
    <w:rsid w:val="00F7794B"/>
    <w:rsid w:val="00F949BB"/>
    <w:rsid w:val="00FB2EC6"/>
    <w:rsid w:val="00FD31B3"/>
    <w:rsid w:val="00FD3203"/>
    <w:rsid w:val="00FE0150"/>
    <w:rsid w:val="00F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30B68-4102-4ECB-B044-FA0F7C9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2016-12-12T16:15:00Z</dcterms:created>
  <dcterms:modified xsi:type="dcterms:W3CDTF">2016-12-12T16:15:00Z</dcterms:modified>
</cp:coreProperties>
</file>